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e9ab1b538472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10071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IVANA MAŽURANIĆA, VINKOVCI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976.208,64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1.074.353,25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1.136.233,60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1.055.403,64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18.949,61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4.160,30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7.475,11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4.160,30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14.789,31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škola Ivana Mažuranića je jedna od sedam osnovnih škola na području Grada Vinkovaca. Osnivač je Grad Vinkovci. Škola obavlja djelatnost osnovnog obrazovanja kao javna ustanova. Svoje zadaće i ciljeve osnovnog obrazovanja ostvaruje na temelju nastavnih planova i programa koji su sastavni dio Godišnjeg plana i programa rada i školskog Kurikuluma. Odgojno obrazovni rad ostvaruje se u dvije smjene, u 21 razrednom odjelu. U školskoj 2025./26. godini imamo  430 učenika. U školi je zaposleno 60 djelatnika. Škola ima ravnateljicu, 3 stručna suradnika: pedagoga, psihologa i knjižničara, tajnika, računovođu, domara, 4 kuhara i 4 spremača. Imamo zaposlenu 1 učiteljicu u produženom boravku na neodređeno vrijeme i dvije učiteljice na određeno, koje Grad zaposli ovisno o broju učenika u produženom boravku. Imamo zaposlena i 4 pomoćnika u nastavi.  Škola se financira iz sredstava Ministarstva za plaće zaposlenika. Iz sredstava Grada za plaće produženog boravka i materijalne troškove. Roditelji sufinanciraju produženi boravak i prehranu učenika nakon nastave. Imamo nešto i vlastitih prihoda od najma školskog prostora.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829.914,01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928.310,38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r>
        <w:t xml:space="preserve">Prihodi iz proračuna su povećani u odnosu na prethodnu godinu, jer su povećane plaće i broj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22.078,05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26.568,10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Prihodi za pomoćnike su povećani jer ove godine imamo jednog pomoćnika više u odnosu na prethodnu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96.276,26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95.378,81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99,1</w:t>
            </w:r>
          </w:p>
        </w:tc>
      </w:tr>
    </w:tbl>
    <w:p>
      <w:pPr>
        <w:spacing w:before="0" w:after="0"/>
      </w:pPr>
    </w:p>
    <w:p>
      <w:r>
        <w:t xml:space="preserve">Prihodi iz nadležnog proračuna priznaju se u trenutku plaćanja računa, jer smo od 01. 01. u riznici Grada i nemamo svoj račun.</w:t>
      </w:r>
    </w:p>
    <w:p>
      <w:r>
        <w:t xml:space="preserve">Iznos prihoda iz nadležnog proračuna, mijenjali smo zbog usklađenja s riznicom Grada.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stanje dospjelih obveza je 0,00, a stanje nedospjelih obveza je 200.224,79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dobili smo završnu isplatu Erasmus projekta u iznosu 3.042,80 eura od AMPEU-a.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3a50df44904af3" /></Relationships>
</file>